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52978" w14:textId="77777777" w:rsidR="00A15B54" w:rsidRPr="001648BE" w:rsidRDefault="00A15B54" w:rsidP="001648BE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648BE">
        <w:rPr>
          <w:rFonts w:ascii="Times New Roman" w:hAnsi="Times New Roman"/>
          <w:sz w:val="24"/>
          <w:szCs w:val="24"/>
          <w:lang w:eastAsia="en-US"/>
        </w:rPr>
        <w:t>EN</w:t>
      </w:r>
    </w:p>
    <w:p w14:paraId="4304C9A5" w14:textId="77777777" w:rsidR="00A15B54" w:rsidRPr="001648BE" w:rsidRDefault="00165203" w:rsidP="001648BE">
      <w:pPr>
        <w:widowControl/>
        <w:tabs>
          <w:tab w:val="clear" w:pos="425"/>
          <w:tab w:val="clear" w:pos="851"/>
          <w:tab w:val="clear" w:pos="1276"/>
        </w:tabs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648BE">
        <w:rPr>
          <w:rFonts w:ascii="Times New Roman" w:hAnsi="Times New Roman"/>
          <w:sz w:val="24"/>
          <w:szCs w:val="24"/>
          <w:lang w:eastAsia="en-US"/>
        </w:rPr>
        <w:t>E-006085</w:t>
      </w:r>
      <w:r w:rsidR="00A15B54" w:rsidRPr="001648BE">
        <w:rPr>
          <w:rFonts w:ascii="Times New Roman" w:hAnsi="Times New Roman"/>
          <w:sz w:val="24"/>
          <w:szCs w:val="24"/>
          <w:lang w:eastAsia="en-US"/>
        </w:rPr>
        <w:t>/2020</w:t>
      </w:r>
    </w:p>
    <w:p w14:paraId="29B88BBF" w14:textId="7D629439" w:rsidR="00A15B54" w:rsidRPr="001648BE" w:rsidRDefault="00A15B54" w:rsidP="001648BE">
      <w:pPr>
        <w:widowControl/>
        <w:tabs>
          <w:tab w:val="clear" w:pos="425"/>
          <w:tab w:val="clear" w:pos="851"/>
          <w:tab w:val="clear" w:pos="1276"/>
        </w:tabs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648BE">
        <w:rPr>
          <w:rFonts w:ascii="Times New Roman" w:hAnsi="Times New Roman"/>
          <w:sz w:val="24"/>
          <w:szCs w:val="24"/>
          <w:lang w:eastAsia="en-US"/>
        </w:rPr>
        <w:t>Answer given by M</w:t>
      </w:r>
      <w:r w:rsidR="00057058" w:rsidRPr="001648BE">
        <w:rPr>
          <w:rFonts w:ascii="Times New Roman" w:hAnsi="Times New Roman"/>
          <w:sz w:val="24"/>
          <w:szCs w:val="24"/>
          <w:lang w:eastAsia="en-US"/>
        </w:rPr>
        <w:t>s</w:t>
      </w:r>
      <w:r w:rsidRPr="001648B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057058" w:rsidRPr="001648BE">
        <w:rPr>
          <w:rFonts w:ascii="Times New Roman" w:hAnsi="Times New Roman"/>
          <w:sz w:val="24"/>
          <w:szCs w:val="24"/>
          <w:lang w:eastAsia="en-US"/>
        </w:rPr>
        <w:t>Dalli</w:t>
      </w:r>
      <w:proofErr w:type="spellEnd"/>
    </w:p>
    <w:p w14:paraId="27D5D8D5" w14:textId="77777777" w:rsidR="00A15B54" w:rsidRPr="001648BE" w:rsidRDefault="00A15B54" w:rsidP="001648BE">
      <w:pPr>
        <w:widowControl/>
        <w:tabs>
          <w:tab w:val="clear" w:pos="425"/>
          <w:tab w:val="clear" w:pos="851"/>
          <w:tab w:val="clear" w:pos="1276"/>
        </w:tabs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648BE">
        <w:rPr>
          <w:rFonts w:ascii="Times New Roman" w:hAnsi="Times New Roman"/>
          <w:sz w:val="24"/>
          <w:szCs w:val="24"/>
          <w:lang w:eastAsia="en-US"/>
        </w:rPr>
        <w:t>on behalf of the European Commission</w:t>
      </w:r>
    </w:p>
    <w:p w14:paraId="51EC30EE" w14:textId="77777777" w:rsidR="00A15B54" w:rsidRPr="001648BE" w:rsidRDefault="00A15B54" w:rsidP="001648BE">
      <w:pPr>
        <w:widowControl/>
        <w:tabs>
          <w:tab w:val="clear" w:pos="425"/>
          <w:tab w:val="clear" w:pos="851"/>
          <w:tab w:val="clear" w:pos="1276"/>
        </w:tabs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648BE">
        <w:rPr>
          <w:rFonts w:ascii="Times New Roman" w:hAnsi="Times New Roman"/>
          <w:sz w:val="24"/>
          <w:szCs w:val="24"/>
          <w:lang w:eastAsia="en-US"/>
        </w:rPr>
        <w:t>(15.2.2021)</w:t>
      </w:r>
      <w:proofErr w:type="spellStart"/>
      <w:proofErr w:type="spellEnd"/>
    </w:p>
    <w:p w14:paraId="6D1DF439" w14:textId="77777777" w:rsidR="00A15B54" w:rsidRPr="001648BE" w:rsidRDefault="00A15B54" w:rsidP="001648BE">
      <w:pPr>
        <w:widowControl/>
        <w:tabs>
          <w:tab w:val="clear" w:pos="425"/>
          <w:tab w:val="clear" w:pos="851"/>
          <w:tab w:val="clear" w:pos="1276"/>
        </w:tabs>
        <w:spacing w:after="0"/>
        <w:rPr>
          <w:rFonts w:ascii="Times New Roman" w:hAnsi="Times New Roman"/>
          <w:sz w:val="24"/>
          <w:szCs w:val="24"/>
          <w:lang w:eastAsia="en-US"/>
        </w:rPr>
      </w:pPr>
    </w:p>
    <w:p w14:paraId="312F1FC6" w14:textId="77777777" w:rsidR="00A15B54" w:rsidRPr="001648BE" w:rsidRDefault="00A15B54" w:rsidP="001648BE">
      <w:pPr>
        <w:widowControl/>
        <w:tabs>
          <w:tab w:val="clear" w:pos="425"/>
          <w:tab w:val="clear" w:pos="851"/>
          <w:tab w:val="clear" w:pos="1276"/>
        </w:tabs>
        <w:spacing w:after="0"/>
        <w:rPr>
          <w:rFonts w:ascii="Times New Roman" w:hAnsi="Times New Roman"/>
          <w:sz w:val="24"/>
          <w:szCs w:val="24"/>
          <w:lang w:eastAsia="en-US"/>
        </w:rPr>
      </w:pPr>
    </w:p>
    <w:p w14:paraId="7204AACC" w14:textId="7282B4D2" w:rsidR="006C47A9" w:rsidRPr="001648BE" w:rsidRDefault="00FF6FC9" w:rsidP="003C2317">
      <w:pPr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648BE">
        <w:rPr>
          <w:rFonts w:ascii="Times New Roman" w:hAnsi="Times New Roman"/>
          <w:sz w:val="24"/>
          <w:szCs w:val="24"/>
          <w:lang w:eastAsia="en-US"/>
        </w:rPr>
        <w:t xml:space="preserve">The Commission is aware of the developments in Poland, which can affect women’s rights. It is committed to </w:t>
      </w:r>
      <w:r w:rsidR="006C47A9" w:rsidRPr="001648BE">
        <w:rPr>
          <w:rFonts w:ascii="Times New Roman" w:hAnsi="Times New Roman"/>
          <w:sz w:val="24"/>
          <w:szCs w:val="24"/>
          <w:lang w:eastAsia="en-US"/>
        </w:rPr>
        <w:t>using all the tools available under the Treaties to uphold the protection of fundamental rights and the Rule of Law – a pre-condition to ensure equal treatment before the law and for the defence of EU citizens’ rights.</w:t>
      </w:r>
    </w:p>
    <w:p w14:paraId="0C85C24F" w14:textId="77777777" w:rsidR="00FF6FC9" w:rsidRPr="001648BE" w:rsidRDefault="00FF6FC9" w:rsidP="003C2317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8794EF9" w14:textId="565E2BED" w:rsidR="00FF6FC9" w:rsidRPr="001648BE" w:rsidRDefault="00FF6FC9" w:rsidP="003C2317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648BE">
        <w:rPr>
          <w:rFonts w:ascii="Times New Roman" w:hAnsi="Times New Roman"/>
          <w:sz w:val="24"/>
          <w:szCs w:val="24"/>
          <w:lang w:eastAsia="en-US"/>
        </w:rPr>
        <w:t>I</w:t>
      </w:r>
      <w:r w:rsidR="00CE2565">
        <w:rPr>
          <w:rFonts w:ascii="Times New Roman" w:hAnsi="Times New Roman"/>
          <w:sz w:val="24"/>
          <w:szCs w:val="24"/>
          <w:lang w:eastAsia="en-US"/>
        </w:rPr>
        <w:t>n the Article 7</w:t>
      </w:r>
      <w:r w:rsidRPr="001648BE">
        <w:rPr>
          <w:rFonts w:ascii="Times New Roman" w:hAnsi="Times New Roman"/>
          <w:sz w:val="24"/>
          <w:szCs w:val="24"/>
          <w:lang w:eastAsia="en-US"/>
        </w:rPr>
        <w:t xml:space="preserve">(1) </w:t>
      </w:r>
      <w:r w:rsidR="00CE2565">
        <w:rPr>
          <w:rFonts w:ascii="Times New Roman" w:hAnsi="Times New Roman"/>
          <w:sz w:val="24"/>
          <w:szCs w:val="24"/>
          <w:lang w:eastAsia="en-US"/>
        </w:rPr>
        <w:t xml:space="preserve">of the </w:t>
      </w:r>
      <w:r w:rsidRPr="001648BE">
        <w:rPr>
          <w:rFonts w:ascii="Times New Roman" w:hAnsi="Times New Roman"/>
          <w:sz w:val="24"/>
          <w:szCs w:val="24"/>
          <w:lang w:eastAsia="en-US"/>
        </w:rPr>
        <w:t>T</w:t>
      </w:r>
      <w:r w:rsidR="00CE2565">
        <w:rPr>
          <w:rFonts w:ascii="Times New Roman" w:hAnsi="Times New Roman"/>
          <w:sz w:val="24"/>
          <w:szCs w:val="24"/>
          <w:lang w:eastAsia="en-US"/>
        </w:rPr>
        <w:t xml:space="preserve">reaty on </w:t>
      </w:r>
      <w:r w:rsidRPr="001648BE">
        <w:rPr>
          <w:rFonts w:ascii="Times New Roman" w:hAnsi="Times New Roman"/>
          <w:sz w:val="24"/>
          <w:szCs w:val="24"/>
          <w:lang w:eastAsia="en-US"/>
        </w:rPr>
        <w:t>E</w:t>
      </w:r>
      <w:r w:rsidR="00CE2565">
        <w:rPr>
          <w:rFonts w:ascii="Times New Roman" w:hAnsi="Times New Roman"/>
          <w:sz w:val="24"/>
          <w:szCs w:val="24"/>
          <w:lang w:eastAsia="en-US"/>
        </w:rPr>
        <w:t xml:space="preserve">uropean </w:t>
      </w:r>
      <w:r w:rsidRPr="001648BE">
        <w:rPr>
          <w:rFonts w:ascii="Times New Roman" w:hAnsi="Times New Roman"/>
          <w:sz w:val="24"/>
          <w:szCs w:val="24"/>
          <w:lang w:eastAsia="en-US"/>
        </w:rPr>
        <w:t>U</w:t>
      </w:r>
      <w:r w:rsidR="00CE2565">
        <w:rPr>
          <w:rFonts w:ascii="Times New Roman" w:hAnsi="Times New Roman"/>
          <w:sz w:val="24"/>
          <w:szCs w:val="24"/>
          <w:lang w:eastAsia="en-US"/>
        </w:rPr>
        <w:t>nion</w:t>
      </w:r>
      <w:r w:rsidRPr="001648BE">
        <w:rPr>
          <w:rFonts w:ascii="Times New Roman" w:hAnsi="Times New Roman"/>
          <w:sz w:val="24"/>
          <w:szCs w:val="24"/>
          <w:lang w:eastAsia="en-US"/>
        </w:rPr>
        <w:t xml:space="preserve"> procedure launched by the Commission in 2017, </w:t>
      </w:r>
      <w:r w:rsidR="006C47A9" w:rsidRPr="001648BE">
        <w:rPr>
          <w:rFonts w:ascii="Times New Roman" w:hAnsi="Times New Roman"/>
          <w:sz w:val="24"/>
          <w:szCs w:val="24"/>
          <w:lang w:eastAsia="en-US"/>
        </w:rPr>
        <w:t>the Commission</w:t>
      </w:r>
      <w:r w:rsidRPr="001648BE">
        <w:rPr>
          <w:rFonts w:ascii="Times New Roman" w:hAnsi="Times New Roman"/>
          <w:sz w:val="24"/>
          <w:szCs w:val="24"/>
          <w:lang w:eastAsia="en-US"/>
        </w:rPr>
        <w:t xml:space="preserve"> raised concerns over the independence and legitimacy of the Polish Constitutional Tribunal. As recalled in the 2020 </w:t>
      </w:r>
      <w:r w:rsidRPr="00CE2565">
        <w:rPr>
          <w:rFonts w:ascii="Times New Roman" w:hAnsi="Times New Roman"/>
          <w:sz w:val="24"/>
          <w:szCs w:val="24"/>
          <w:lang w:eastAsia="en-US"/>
        </w:rPr>
        <w:t>Rule of Law Report</w:t>
      </w:r>
      <w:r w:rsidR="00CE2565" w:rsidRPr="00265A40">
        <w:rPr>
          <w:rStyle w:val="FootnoteReference"/>
          <w:rFonts w:ascii="Times New Roman" w:hAnsi="Times New Roman" w:cs="Times New Roman"/>
          <w:sz w:val="24"/>
          <w:szCs w:val="24"/>
          <w:lang w:eastAsia="en-US"/>
        </w:rPr>
        <w:footnoteReference w:id="2"/>
      </w:r>
      <w:r w:rsidRPr="00CE2565">
        <w:rPr>
          <w:rFonts w:ascii="Times New Roman" w:hAnsi="Times New Roman"/>
          <w:sz w:val="24"/>
          <w:szCs w:val="24"/>
          <w:lang w:eastAsia="en-US"/>
        </w:rPr>
        <w:t>, these</w:t>
      </w:r>
      <w:r w:rsidRPr="001648BE">
        <w:rPr>
          <w:rFonts w:ascii="Times New Roman" w:hAnsi="Times New Roman"/>
          <w:sz w:val="24"/>
          <w:szCs w:val="24"/>
          <w:lang w:eastAsia="en-US"/>
        </w:rPr>
        <w:t xml:space="preserve"> concerns</w:t>
      </w:r>
      <w:r w:rsidR="00CE2565">
        <w:rPr>
          <w:rFonts w:ascii="Times New Roman" w:hAnsi="Times New Roman"/>
          <w:sz w:val="24"/>
          <w:szCs w:val="24"/>
          <w:lang w:eastAsia="en-US"/>
        </w:rPr>
        <w:t xml:space="preserve"> have so far not been resolved.</w:t>
      </w:r>
      <w:bookmarkStart w:id="0" w:name="_GoBack"/>
      <w:bookmarkEnd w:id="0"/>
    </w:p>
    <w:p w14:paraId="50CA35AF" w14:textId="77777777" w:rsidR="00FF6FC9" w:rsidRPr="001648BE" w:rsidRDefault="00FF6FC9" w:rsidP="003C2317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7E2CC83" w14:textId="567EABD2" w:rsidR="00923DA6" w:rsidRPr="001648BE" w:rsidRDefault="00484E5C" w:rsidP="003C2317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648BE">
        <w:rPr>
          <w:rFonts w:ascii="Times New Roman" w:hAnsi="Times New Roman"/>
          <w:sz w:val="24"/>
          <w:szCs w:val="24"/>
          <w:lang w:eastAsia="en-US"/>
        </w:rPr>
        <w:t>S</w:t>
      </w:r>
      <w:r w:rsidR="00923DA6" w:rsidRPr="001648BE">
        <w:rPr>
          <w:rFonts w:ascii="Times New Roman" w:hAnsi="Times New Roman"/>
          <w:sz w:val="24"/>
          <w:szCs w:val="24"/>
          <w:lang w:eastAsia="en-US"/>
        </w:rPr>
        <w:t>exual and reproductive health and rights are at the core of the fundamental right to gender equality</w:t>
      </w:r>
      <w:r w:rsidR="00881257" w:rsidRPr="001648BE">
        <w:rPr>
          <w:rFonts w:ascii="Times New Roman" w:hAnsi="Times New Roman"/>
          <w:sz w:val="24"/>
          <w:szCs w:val="24"/>
          <w:lang w:eastAsia="en-US"/>
        </w:rPr>
        <w:t xml:space="preserve"> and women’s rights</w:t>
      </w:r>
      <w:r w:rsidR="00BC5682">
        <w:rPr>
          <w:rFonts w:ascii="Times New Roman" w:hAnsi="Times New Roman"/>
          <w:sz w:val="24"/>
          <w:szCs w:val="24"/>
          <w:lang w:eastAsia="en-US"/>
        </w:rPr>
        <w:t>.</w:t>
      </w:r>
    </w:p>
    <w:p w14:paraId="52CCB8C5" w14:textId="77777777" w:rsidR="00923DA6" w:rsidRPr="001648BE" w:rsidRDefault="00923DA6" w:rsidP="003C2317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DB878B4" w14:textId="111EEFC2" w:rsidR="007509B0" w:rsidRPr="001648BE" w:rsidRDefault="006C47A9" w:rsidP="003C2317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648BE">
        <w:rPr>
          <w:rFonts w:ascii="Times New Roman" w:hAnsi="Times New Roman"/>
          <w:sz w:val="24"/>
          <w:szCs w:val="24"/>
          <w:lang w:eastAsia="en-US"/>
        </w:rPr>
        <w:t>However, t</w:t>
      </w:r>
      <w:r w:rsidR="00641E3E" w:rsidRPr="001648BE">
        <w:rPr>
          <w:rFonts w:ascii="Times New Roman" w:hAnsi="Times New Roman"/>
          <w:sz w:val="24"/>
          <w:szCs w:val="24"/>
          <w:lang w:eastAsia="en-US"/>
        </w:rPr>
        <w:t>he Member States are responsible for the definition of health policy</w:t>
      </w:r>
      <w:r w:rsidR="00641E3E" w:rsidRPr="001648BE">
        <w:rPr>
          <w:rFonts w:ascii="Times New Roman" w:hAnsi="Times New Roman"/>
          <w:sz w:val="24"/>
          <w:szCs w:val="24"/>
        </w:rPr>
        <w:t xml:space="preserve"> </w:t>
      </w:r>
      <w:r w:rsidR="00641E3E" w:rsidRPr="001648BE">
        <w:rPr>
          <w:rFonts w:ascii="Times New Roman" w:hAnsi="Times New Roman"/>
          <w:sz w:val="24"/>
          <w:szCs w:val="24"/>
          <w:lang w:eastAsia="en-US"/>
        </w:rPr>
        <w:t xml:space="preserve">and the organisation and delivery of health services and medical care. Union action complements national policies and </w:t>
      </w:r>
      <w:proofErr w:type="gramStart"/>
      <w:r w:rsidR="00641E3E" w:rsidRPr="001648BE">
        <w:rPr>
          <w:rFonts w:ascii="Times New Roman" w:hAnsi="Times New Roman"/>
          <w:sz w:val="24"/>
          <w:szCs w:val="24"/>
          <w:lang w:eastAsia="en-US"/>
        </w:rPr>
        <w:t>is directed</w:t>
      </w:r>
      <w:proofErr w:type="gramEnd"/>
      <w:r w:rsidR="00641E3E" w:rsidRPr="001648BE">
        <w:rPr>
          <w:rFonts w:ascii="Times New Roman" w:hAnsi="Times New Roman"/>
          <w:sz w:val="24"/>
          <w:szCs w:val="24"/>
          <w:lang w:eastAsia="en-US"/>
        </w:rPr>
        <w:t xml:space="preserve"> towards improving public health, preventing illness, and obviating major sources of danger to health </w:t>
      </w:r>
      <w:r w:rsidR="00E37780" w:rsidRPr="001648BE">
        <w:rPr>
          <w:rFonts w:ascii="Times New Roman" w:hAnsi="Times New Roman"/>
          <w:sz w:val="24"/>
          <w:szCs w:val="24"/>
          <w:lang w:eastAsia="en-US"/>
        </w:rPr>
        <w:t>through</w:t>
      </w:r>
      <w:r w:rsidR="00641E3E" w:rsidRPr="001648BE">
        <w:rPr>
          <w:rFonts w:ascii="Times New Roman" w:hAnsi="Times New Roman"/>
          <w:sz w:val="24"/>
          <w:szCs w:val="24"/>
          <w:lang w:eastAsia="en-US"/>
        </w:rPr>
        <w:t xml:space="preserve"> information, best practice exchange and education. </w:t>
      </w:r>
      <w:r w:rsidR="00E37780" w:rsidRPr="001648BE">
        <w:rPr>
          <w:rFonts w:ascii="Times New Roman" w:hAnsi="Times New Roman"/>
          <w:sz w:val="24"/>
          <w:szCs w:val="24"/>
          <w:lang w:eastAsia="en-US"/>
        </w:rPr>
        <w:t>T</w:t>
      </w:r>
      <w:r w:rsidR="00641E3E" w:rsidRPr="001648BE">
        <w:rPr>
          <w:rFonts w:ascii="Times New Roman" w:hAnsi="Times New Roman"/>
          <w:sz w:val="24"/>
          <w:szCs w:val="24"/>
          <w:lang w:eastAsia="en-US"/>
        </w:rPr>
        <w:t>he Commission promotes cooperation between Member States and, if necessary, lends support to their actions.</w:t>
      </w:r>
    </w:p>
    <w:p w14:paraId="35BBB996" w14:textId="77777777" w:rsidR="00CE63AD" w:rsidRPr="001648BE" w:rsidRDefault="00CE63AD" w:rsidP="003C2317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DCB8AFA" w14:textId="15A58534" w:rsidR="0073763D" w:rsidRPr="00BC5682" w:rsidRDefault="00484E5C" w:rsidP="003C2317">
      <w:pPr>
        <w:widowControl/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5682">
        <w:rPr>
          <w:rFonts w:ascii="Times New Roman" w:hAnsi="Times New Roman"/>
          <w:sz w:val="24"/>
          <w:szCs w:val="24"/>
          <w:lang w:eastAsia="en-US"/>
        </w:rPr>
        <w:t>T</w:t>
      </w:r>
      <w:r w:rsidR="00301A0D" w:rsidRPr="00BC5682">
        <w:rPr>
          <w:rFonts w:ascii="Times New Roman" w:hAnsi="Times New Roman"/>
          <w:sz w:val="24"/>
          <w:szCs w:val="24"/>
          <w:lang w:eastAsia="en-US"/>
        </w:rPr>
        <w:t>he EU Gender Equality Strategy 2020-2025</w:t>
      </w:r>
      <w:r w:rsidR="003C2317" w:rsidRPr="00BC5682">
        <w:rPr>
          <w:rStyle w:val="FootnoteReference"/>
          <w:rFonts w:ascii="Times New Roman" w:hAnsi="Times New Roman" w:cs="Times New Roman"/>
          <w:sz w:val="24"/>
          <w:szCs w:val="24"/>
          <w:lang w:eastAsia="en-US"/>
        </w:rPr>
        <w:footnoteReference w:id="3"/>
      </w:r>
      <w:r w:rsidR="00301A0D" w:rsidRPr="00BC5682">
        <w:rPr>
          <w:rFonts w:ascii="Times New Roman" w:hAnsi="Times New Roman"/>
          <w:sz w:val="24"/>
          <w:szCs w:val="24"/>
          <w:lang w:eastAsia="en-US"/>
        </w:rPr>
        <w:t xml:space="preserve"> presents the Commission’s policy objectives on gender equality. The Commission supports </w:t>
      </w:r>
      <w:r w:rsidR="000E07E7" w:rsidRPr="00BC5682">
        <w:rPr>
          <w:rFonts w:ascii="Times New Roman" w:hAnsi="Times New Roman"/>
          <w:sz w:val="24"/>
          <w:szCs w:val="24"/>
          <w:lang w:eastAsia="en-US"/>
        </w:rPr>
        <w:t xml:space="preserve">good practice </w:t>
      </w:r>
      <w:r w:rsidR="00301A0D" w:rsidRPr="00BC5682">
        <w:rPr>
          <w:rFonts w:ascii="Times New Roman" w:hAnsi="Times New Roman"/>
          <w:sz w:val="24"/>
          <w:szCs w:val="24"/>
          <w:lang w:eastAsia="en-US"/>
        </w:rPr>
        <w:t xml:space="preserve">exchanges on health, including sexual and reproductive health and rights. </w:t>
      </w:r>
      <w:r w:rsidR="00E55A48" w:rsidRPr="00BC5682">
        <w:rPr>
          <w:rFonts w:ascii="Times New Roman" w:hAnsi="Times New Roman"/>
          <w:sz w:val="24"/>
          <w:szCs w:val="24"/>
          <w:lang w:eastAsia="en-US"/>
        </w:rPr>
        <w:t>It</w:t>
      </w:r>
      <w:r w:rsidR="00301A0D" w:rsidRPr="00BC5682">
        <w:rPr>
          <w:rFonts w:ascii="Times New Roman" w:hAnsi="Times New Roman"/>
          <w:sz w:val="24"/>
          <w:szCs w:val="24"/>
          <w:lang w:eastAsia="en-US"/>
        </w:rPr>
        <w:t xml:space="preserve"> funds organisations tackling violence against women and supports women’s human rights</w:t>
      </w:r>
      <w:r w:rsidRPr="00BC568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01A0D" w:rsidRPr="00BC5682">
        <w:rPr>
          <w:rFonts w:ascii="Times New Roman" w:hAnsi="Times New Roman"/>
          <w:sz w:val="24"/>
          <w:szCs w:val="24"/>
          <w:lang w:eastAsia="en-US"/>
        </w:rPr>
        <w:t>in external action.</w:t>
      </w:r>
    </w:p>
    <w:p w14:paraId="713A0460" w14:textId="77777777" w:rsidR="00A15B54" w:rsidRPr="00BC5682" w:rsidRDefault="00A15B54" w:rsidP="003C2317">
      <w:pPr>
        <w:widowControl/>
        <w:tabs>
          <w:tab w:val="clear" w:pos="425"/>
          <w:tab w:val="clear" w:pos="851"/>
          <w:tab w:val="clear" w:pos="1276"/>
        </w:tabs>
        <w:spacing w:after="0"/>
        <w:rPr>
          <w:rFonts w:ascii="Times New Roman" w:hAnsi="Times New Roman"/>
          <w:sz w:val="24"/>
          <w:szCs w:val="24"/>
          <w:lang w:eastAsia="en-US"/>
        </w:rPr>
      </w:pPr>
    </w:p>
    <w:sectPr w:rsidR="00A15B54" w:rsidRPr="00BC56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2000" w:left="1440" w:header="568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58D5A" w14:textId="77777777" w:rsidR="00184066" w:rsidRDefault="00184066">
      <w:pPr>
        <w:spacing w:after="0"/>
      </w:pPr>
      <w:r>
        <w:separator/>
      </w:r>
    </w:p>
  </w:endnote>
  <w:endnote w:type="continuationSeparator" w:id="0">
    <w:p w14:paraId="5821D96E" w14:textId="77777777" w:rsidR="00184066" w:rsidRDefault="00184066">
      <w:pPr>
        <w:spacing w:after="0"/>
      </w:pPr>
      <w:r>
        <w:continuationSeparator/>
      </w:r>
    </w:p>
  </w:endnote>
  <w:endnote w:type="continuationNotice" w:id="1">
    <w:p w14:paraId="675C1F15" w14:textId="77777777" w:rsidR="00184066" w:rsidRDefault="0018406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07AC6" w14:textId="77777777" w:rsidR="00265A40" w:rsidRDefault="00265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C5B56" w14:textId="3312B574" w:rsidR="001048ED" w:rsidRPr="00265A40" w:rsidRDefault="001048ED" w:rsidP="00265A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A3A00" w14:textId="77777777" w:rsidR="001048ED" w:rsidRPr="003C2317" w:rsidRDefault="001048ED" w:rsidP="003C2317">
    <w:pPr>
      <w:pStyle w:val="Footer"/>
      <w:tabs>
        <w:tab w:val="clear" w:pos="4536"/>
        <w:tab w:val="clear" w:pos="9072"/>
      </w:tabs>
      <w:spacing w:before="0" w:after="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BE500" w14:textId="77777777" w:rsidR="00184066" w:rsidRDefault="00184066">
      <w:pPr>
        <w:spacing w:after="0"/>
      </w:pPr>
      <w:r>
        <w:separator/>
      </w:r>
    </w:p>
  </w:footnote>
  <w:footnote w:type="continuationSeparator" w:id="0">
    <w:p w14:paraId="676CFB9C" w14:textId="77777777" w:rsidR="00184066" w:rsidRDefault="00184066">
      <w:pPr>
        <w:spacing w:after="0"/>
      </w:pPr>
      <w:r>
        <w:continuationSeparator/>
      </w:r>
    </w:p>
  </w:footnote>
  <w:footnote w:type="continuationNotice" w:id="1">
    <w:p w14:paraId="49FE9325" w14:textId="77777777" w:rsidR="00184066" w:rsidRDefault="00184066">
      <w:pPr>
        <w:spacing w:after="0"/>
      </w:pPr>
    </w:p>
  </w:footnote>
  <w:footnote w:id="2">
    <w:p w14:paraId="2EA91D17" w14:textId="6931D459" w:rsidR="00CE2565" w:rsidRPr="00265A40" w:rsidRDefault="00CE2565" w:rsidP="00265A40">
      <w:pPr>
        <w:pStyle w:val="FootnoteText"/>
        <w:tabs>
          <w:tab w:val="clear" w:pos="284"/>
        </w:tabs>
        <w:ind w:left="0" w:firstLine="0"/>
        <w:rPr>
          <w:rFonts w:ascii="Times New Roman" w:hAnsi="Times New Roman"/>
          <w:sz w:val="20"/>
          <w:lang w:val="fr-BE"/>
        </w:rPr>
      </w:pPr>
      <w:r w:rsidRPr="00265A40">
        <w:rPr>
          <w:rStyle w:val="FootnoteReference"/>
          <w:rFonts w:ascii="Times New Roman" w:hAnsi="Times New Roman" w:cs="Times New Roman"/>
          <w:sz w:val="20"/>
        </w:rPr>
        <w:footnoteRef/>
      </w:r>
      <w:r w:rsidRPr="00265A40">
        <w:rPr>
          <w:rFonts w:ascii="Times New Roman" w:hAnsi="Times New Roman"/>
          <w:sz w:val="20"/>
        </w:rPr>
        <w:t xml:space="preserve"> </w:t>
      </w:r>
      <w:hyperlink r:id="rId1" w:history="1">
        <w:r w:rsidR="00265A40" w:rsidRPr="00ED3E66">
          <w:rPr>
            <w:rStyle w:val="Hyperlink"/>
            <w:rFonts w:ascii="Times New Roman" w:hAnsi="Times New Roman"/>
            <w:sz w:val="20"/>
          </w:rPr>
          <w:t>https://eur-lex.europa.eu/legal-content/EN/TXT/?qid=1602579986149&amp;uri=CELEX%3A52020SC0320</w:t>
        </w:r>
      </w:hyperlink>
      <w:r w:rsidR="00265A40">
        <w:rPr>
          <w:rFonts w:ascii="Times New Roman" w:hAnsi="Times New Roman"/>
          <w:sz w:val="20"/>
        </w:rPr>
        <w:t xml:space="preserve"> </w:t>
      </w:r>
    </w:p>
  </w:footnote>
  <w:footnote w:id="3">
    <w:p w14:paraId="09F3CCF9" w14:textId="3141DE57" w:rsidR="003C2317" w:rsidRPr="00265A40" w:rsidRDefault="003C2317" w:rsidP="003C2317">
      <w:pPr>
        <w:pStyle w:val="FootnoteText"/>
        <w:tabs>
          <w:tab w:val="clear" w:pos="284"/>
        </w:tabs>
        <w:ind w:left="0" w:firstLine="0"/>
        <w:rPr>
          <w:rFonts w:ascii="Times New Roman" w:hAnsi="Times New Roman"/>
          <w:sz w:val="20"/>
          <w:lang w:val="fr-BE"/>
        </w:rPr>
      </w:pPr>
      <w:r w:rsidRPr="003C2317">
        <w:rPr>
          <w:rStyle w:val="FootnoteReference"/>
          <w:rFonts w:ascii="Times New Roman" w:hAnsi="Times New Roman" w:cs="Times New Roman"/>
          <w:sz w:val="20"/>
        </w:rPr>
        <w:footnoteRef/>
      </w:r>
      <w:r w:rsidRPr="00265A40">
        <w:rPr>
          <w:rFonts w:ascii="Times New Roman" w:hAnsi="Times New Roman"/>
          <w:sz w:val="20"/>
          <w:lang w:val="fr-BE"/>
        </w:rPr>
        <w:t xml:space="preserve"> </w:t>
      </w:r>
      <w:hyperlink r:id="rId2" w:history="1">
        <w:r w:rsidRPr="00265A40">
          <w:rPr>
            <w:rStyle w:val="Hyperlink"/>
            <w:rFonts w:ascii="Times New Roman" w:hAnsi="Times New Roman"/>
            <w:sz w:val="20"/>
            <w:lang w:val="fr-BE"/>
          </w:rPr>
          <w:t>https://eur-lex.europa.eu/legal-content/EN/TXT/?uri=CELEX:52020DC0152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2DD8" w14:textId="77777777" w:rsidR="00265A40" w:rsidRDefault="00265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0AC5" w14:textId="77777777" w:rsidR="00265A40" w:rsidRDefault="00265A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2E51" w14:textId="77777777" w:rsidR="002911A7" w:rsidRPr="003C2317" w:rsidRDefault="002911A7" w:rsidP="003C2317">
    <w:pPr>
      <w:pStyle w:val="Header"/>
      <w:tabs>
        <w:tab w:val="clear" w:pos="425"/>
        <w:tab w:val="clear" w:pos="851"/>
        <w:tab w:val="clear" w:pos="1276"/>
        <w:tab w:val="clear" w:pos="4153"/>
        <w:tab w:val="clear" w:pos="8306"/>
      </w:tabs>
      <w:spacing w:after="0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W_DocType" w:val="NORMAL"/>
  </w:docVars>
  <w:rsids>
    <w:rsidRoot w:val="00A77B3E"/>
    <w:rsid w:val="0001181F"/>
    <w:rsid w:val="00031D3D"/>
    <w:rsid w:val="00046933"/>
    <w:rsid w:val="00057058"/>
    <w:rsid w:val="000E07E7"/>
    <w:rsid w:val="001048ED"/>
    <w:rsid w:val="001648BE"/>
    <w:rsid w:val="00165203"/>
    <w:rsid w:val="00184066"/>
    <w:rsid w:val="00194533"/>
    <w:rsid w:val="002107E4"/>
    <w:rsid w:val="00226A4B"/>
    <w:rsid w:val="002657A4"/>
    <w:rsid w:val="00265A40"/>
    <w:rsid w:val="00287D8E"/>
    <w:rsid w:val="002911A7"/>
    <w:rsid w:val="002965B5"/>
    <w:rsid w:val="002B0061"/>
    <w:rsid w:val="002B18A0"/>
    <w:rsid w:val="00301A0D"/>
    <w:rsid w:val="00361C04"/>
    <w:rsid w:val="00383D30"/>
    <w:rsid w:val="003C2317"/>
    <w:rsid w:val="00416EF2"/>
    <w:rsid w:val="004238A7"/>
    <w:rsid w:val="004663CA"/>
    <w:rsid w:val="00484E5C"/>
    <w:rsid w:val="00496E3E"/>
    <w:rsid w:val="004B0493"/>
    <w:rsid w:val="00504CA7"/>
    <w:rsid w:val="0056745D"/>
    <w:rsid w:val="005B585C"/>
    <w:rsid w:val="005B7FBA"/>
    <w:rsid w:val="005D3B55"/>
    <w:rsid w:val="005E1B18"/>
    <w:rsid w:val="005E2799"/>
    <w:rsid w:val="00641E3E"/>
    <w:rsid w:val="006B1E48"/>
    <w:rsid w:val="006B36B7"/>
    <w:rsid w:val="006C47A9"/>
    <w:rsid w:val="006F3A6A"/>
    <w:rsid w:val="0073763D"/>
    <w:rsid w:val="007509B0"/>
    <w:rsid w:val="007F02F2"/>
    <w:rsid w:val="008150DD"/>
    <w:rsid w:val="008202C4"/>
    <w:rsid w:val="00881257"/>
    <w:rsid w:val="008F2834"/>
    <w:rsid w:val="00923DA6"/>
    <w:rsid w:val="00946058"/>
    <w:rsid w:val="009752D1"/>
    <w:rsid w:val="009E517C"/>
    <w:rsid w:val="009F4887"/>
    <w:rsid w:val="00A15B54"/>
    <w:rsid w:val="00A21D9B"/>
    <w:rsid w:val="00A77B3E"/>
    <w:rsid w:val="00AE52A4"/>
    <w:rsid w:val="00B42814"/>
    <w:rsid w:val="00B447E6"/>
    <w:rsid w:val="00B550F9"/>
    <w:rsid w:val="00B642ED"/>
    <w:rsid w:val="00B943EE"/>
    <w:rsid w:val="00B967FD"/>
    <w:rsid w:val="00BA79FA"/>
    <w:rsid w:val="00BC3F72"/>
    <w:rsid w:val="00BC5682"/>
    <w:rsid w:val="00C26FA3"/>
    <w:rsid w:val="00C44263"/>
    <w:rsid w:val="00C44481"/>
    <w:rsid w:val="00C45859"/>
    <w:rsid w:val="00CA2A55"/>
    <w:rsid w:val="00CC0628"/>
    <w:rsid w:val="00CC117A"/>
    <w:rsid w:val="00CE2565"/>
    <w:rsid w:val="00CE63AD"/>
    <w:rsid w:val="00D01925"/>
    <w:rsid w:val="00D02A58"/>
    <w:rsid w:val="00D52EB4"/>
    <w:rsid w:val="00D66FC0"/>
    <w:rsid w:val="00DD43B7"/>
    <w:rsid w:val="00DE367D"/>
    <w:rsid w:val="00E30449"/>
    <w:rsid w:val="00E37780"/>
    <w:rsid w:val="00E55A48"/>
    <w:rsid w:val="00E7350B"/>
    <w:rsid w:val="00EB17DE"/>
    <w:rsid w:val="00EE1627"/>
    <w:rsid w:val="00F45CA0"/>
    <w:rsid w:val="00F80FA3"/>
    <w:rsid w:val="00F82C7B"/>
    <w:rsid w:val="00F8731B"/>
    <w:rsid w:val="00FF6C46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938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link w:val="FootnoteTextChar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2E74B5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44546A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  <w:style w:type="character" w:styleId="Emphasis">
    <w:name w:val="Emphasis"/>
    <w:basedOn w:val="DefaultParagraphFont"/>
    <w:uiPriority w:val="20"/>
    <w:qFormat/>
    <w:rsid w:val="00F82C7B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EE16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1627"/>
  </w:style>
  <w:style w:type="character" w:customStyle="1" w:styleId="CommentTextChar">
    <w:name w:val="Comment Text Char"/>
    <w:basedOn w:val="DefaultParagraphFont"/>
    <w:link w:val="CommentText"/>
    <w:semiHidden/>
    <w:rsid w:val="00EE16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1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162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E1627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semiHidden/>
    <w:rsid w:val="00194533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10" Target="header3.xml" Type="http://schemas.openxmlformats.org/officeDocument/2006/relationships/header"/>
<Relationship Id="rId11" Target="footer3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header2.xml" Type="http://schemas.openxmlformats.org/officeDocument/2006/relationships/header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_rels/footnotes.xml.rels><?xml version="1.0" encoding="UTF-8" standalone="yes"?>
<Relationships xmlns="http://schemas.openxmlformats.org/package/2006/relationships">
<Relationship Id="rId1" Target="https://eur-lex.europa.eu/legal-content/EN/TXT/?qid=1602579986149&amp;uri=CELEX%3A52020SC0320" TargetMode="External" Type="http://schemas.openxmlformats.org/officeDocument/2006/relationships/hyperlink"/>
<Relationship Id="rId2" Target="https://eur-lex.europa.eu/legal-content/EN/TXT/?uri=CELEX:52020DC0152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1399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2021-02-04T08:08:00Z</dcterms:created>
  <dcterms:modified xsi:type="dcterms:W3CDTF">2021-02-04T08:08:00Z</dcterms:modified>
  <cp:revision>1</cp:revision>
</cp:coreProperties>
</file>