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9.3 -->
  <w:body>
    <w:p>
      <w:pPr>
        <w:pStyle w:val="Arial10"/>
      </w:pPr>
      <w:r w:rsidR="00A77B3E">
        <w:rPr>
          <w:rStyle w:val="Bold"/>
        </w:rPr>
        <w:t>Question for written answer E-000894/2021</w:t>
      </w:r>
    </w:p>
    <w:p>
      <w:pPr>
        <w:pStyle w:val="Arial10"/>
      </w:pPr>
      <w:r>
        <w:rPr>
          <w:rStyle w:val="Bold"/>
        </w:rPr>
        <w:t>to the Commission</w:t>
      </w:r>
    </w:p>
    <w:p>
      <w:pPr>
        <w:pStyle w:val="Arial10"/>
      </w:pPr>
      <w:r>
        <w:t>Rule 138</w:t>
      </w:r>
    </w:p>
    <w:p>
      <w:pPr>
        <w:pStyle w:val="Arial10After10"/>
      </w:pPr>
      <w:r>
        <w:rPr>
          <w:rStyle w:val="Bold"/>
        </w:rPr>
        <w:t>Monika Vana</w:t>
      </w:r>
      <w:r>
        <w:t xml:space="preserve"> (</w:t>
      </w:r>
      <w:r>
        <w:t>Verts/ALE</w:t>
      </w:r>
      <w:r>
        <w:t xml:space="preserve">), </w:t>
      </w:r>
      <w:r>
        <w:rPr>
          <w:rStyle w:val="Bold"/>
        </w:rPr>
        <w:t>Gwendoline Delbos-Corfield</w:t>
      </w:r>
      <w:r>
        <w:t xml:space="preserve"> (</w:t>
      </w:r>
      <w:r>
        <w:t>Verts/ALE</w:t>
      </w:r>
      <w:r>
        <w:t xml:space="preserve">), </w:t>
      </w:r>
      <w:r>
        <w:rPr>
          <w:rStyle w:val="Bold"/>
        </w:rPr>
        <w:t>Saskia Bricmont</w:t>
      </w:r>
      <w:r>
        <w:t xml:space="preserve"> (</w:t>
      </w:r>
      <w:r>
        <w:t>Verts/ALE</w:t>
      </w:r>
      <w:r>
        <w:t xml:space="preserve">), </w:t>
      </w:r>
      <w:r>
        <w:rPr>
          <w:rStyle w:val="Bold"/>
        </w:rPr>
        <w:t>Damien Carême</w:t>
      </w:r>
      <w:r>
        <w:t xml:space="preserve"> (</w:t>
      </w:r>
      <w:r>
        <w:t>Verts/ALE</w:t>
      </w:r>
      <w:r>
        <w:t xml:space="preserve">), </w:t>
      </w:r>
      <w:r>
        <w:rPr>
          <w:rStyle w:val="Bold"/>
        </w:rPr>
        <w:t>Tineke Strik</w:t>
      </w:r>
      <w:r>
        <w:t xml:space="preserve"> (</w:t>
      </w:r>
      <w:r>
        <w:t>Verts/ALE</w:t>
      </w:r>
      <w:r>
        <w:t xml:space="preserve">), </w:t>
      </w:r>
      <w:r>
        <w:rPr>
          <w:rStyle w:val="Bold"/>
        </w:rPr>
        <w:t>Erik Marquardt</w:t>
      </w:r>
      <w:r>
        <w:t xml:space="preserve"> (</w:t>
      </w:r>
      <w:r>
        <w:t>Verts/ALE</w:t>
      </w:r>
      <w:r>
        <w:t xml:space="preserve">), </w:t>
      </w:r>
      <w:r>
        <w:rPr>
          <w:rStyle w:val="Bold"/>
        </w:rPr>
        <w:t>Malin Björk</w:t>
      </w:r>
      <w:r>
        <w:t xml:space="preserve"> (</w:t>
      </w:r>
      <w:r>
        <w:t>The Left</w:t>
      </w:r>
      <w:r>
        <w:t xml:space="preserve">), </w:t>
      </w:r>
      <w:r>
        <w:rPr>
          <w:rStyle w:val="Bold"/>
        </w:rPr>
        <w:t>Ramona Strugariu</w:t>
      </w:r>
      <w:r>
        <w:t xml:space="preserve"> (</w:t>
      </w:r>
      <w:r>
        <w:t>Renew</w:t>
      </w:r>
      <w:r>
        <w:t xml:space="preserve">), </w:t>
      </w:r>
      <w:r>
        <w:rPr>
          <w:rStyle w:val="Bold"/>
        </w:rPr>
        <w:t>Bettina Vollath</w:t>
      </w:r>
      <w:r>
        <w:t xml:space="preserve"> (</w:t>
      </w:r>
      <w:r>
        <w:t>S&amp;D</w:t>
      </w:r>
      <w:r>
        <w:t>)</w:t>
      </w:r>
    </w:p>
    <w:p>
      <w:pPr>
        <w:pStyle w:val="Subject"/>
      </w:pPr>
      <w:r>
        <w:t>Subject</w:t>
      </w:r>
      <w:r>
        <w:t>:</w:t>
      </w:r>
      <w:r>
        <w:tab/>
      </w:r>
      <w:r>
        <w:t>Non-implementation of CJEU ruling C-808/18 by Hungary and Frontex’s involvement in pushbacks at the Hungarian border</w:t>
      </w:r>
    </w:p>
    <w:p>
      <w:pPr>
        <w:pStyle w:val="Body"/>
      </w:pPr>
      <w:r>
        <w:t>On 17 December 2020, the Court of Justice of the European Union (CJEU) ruled in case C-808/18 that the 2016 Hungarian legislation on pushbacks of migrants and asylum seekers breaches EU law. Since then, according to the Hungarian police, more than 4 400 pushbacks have taken place at the borders with Croatia and Serbia, demonstrating that the government has not implemented the CJEU judgment.</w:t>
      </w:r>
    </w:p>
    <w:p>
      <w:pPr>
        <w:pStyle w:val="itemList"/>
      </w:pPr>
      <w:r>
        <w:t>1.</w:t>
      </w:r>
      <w:r>
        <w:tab/>
      </w:r>
      <w:r>
        <w:t>Does the Commission believe that Hungary has taken the necessary measures to comply with the judgment, following the exchange of letters in January 2021? If not, when would the Commission trigger the procedure enshrined in Article 260(2) of the Treaty on the Functioning of the European Union?</w:t>
      </w:r>
    </w:p>
    <w:p>
      <w:pPr>
        <w:pStyle w:val="itemList"/>
      </w:pPr>
      <w:r>
        <w:t>2.</w:t>
      </w:r>
      <w:r>
        <w:tab/>
      </w:r>
      <w:r>
        <w:t>Given that Hungary receives EU financial support for border management, would the Commission consider using the powers enshrined in Regulation (EU, Euratom) 2020/2092?</w:t>
      </w:r>
    </w:p>
    <w:p>
      <w:pPr>
        <w:pStyle w:val="itemList"/>
      </w:pPr>
      <w:r>
        <w:t>3.</w:t>
      </w:r>
      <w:r>
        <w:tab/>
      </w:r>
      <w:r>
        <w:t>Does the Commission consider that the operational support provided by Frontex to border management activities in Hungary constituted a violation of Frontex’s fundamental rights obligations stemming from Regulation (EU) 2019/1896 and the EU Charter of Fundamental Rights? If so, does it intend to further evaluate those activities within the remit of the Management Board Working Group on Fundamental Rights and Legal and Operational Aspects of Operations?</w:t>
      </w:r>
    </w:p>
    <w:sectPr>
      <w:footerReference w:type="even" r:id="rId4"/>
      <w:footerReference w:type="default" r:id="rId5"/>
      <w:footerReference w:type="first" r:id="rId6"/>
      <w:pgSz w:w="11906" w:h="16838"/>
      <w:pgMar w:top="1440" w:right="1440" w:bottom="2000" w:left="1440" w:header="568" w:footer="568" w:gutter="0"/>
      <w:cols w:num="1"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PE689.278v01-00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PE689.278v01-00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PE689.278v01-00</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grammar="clean"/>
  <w:stylePaneFormatFilter w:val="3F01"/>
  <w:defaultTabStop w:val="720"/>
  <w:evenAndOddHeaders/>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tabs>
        <w:tab w:val="left" w:pos="425"/>
        <w:tab w:val="left" w:pos="851"/>
        <w:tab w:val="left" w:pos="1276"/>
      </w:tabs>
      <w:spacing w:after="240"/>
    </w:pPr>
    <w:rPr>
      <w:rFonts w:ascii="Arial" w:hAnsi="Arial"/>
    </w:rPr>
  </w:style>
  <w:style w:type="paragraph" w:styleId="Heading1">
    <w:name w:val="heading 1"/>
    <w:basedOn w:val="Normal"/>
    <w:next w:val="Normal"/>
    <w:link w:val="Heading1Char"/>
    <w:qFormat/>
    <w:rsid w:val="004B33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semiHidden/>
    <w:unhideWhenUsed/>
  </w:style>
  <w:style w:type="table" w:default="1" w:styleId="TableNormal">
    <w:name w:val="Normal Table"/>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styleId="FootnoteReference">
    <w:name w:val="footnote reference"/>
    <w:rsid w:val="00782D12"/>
    <w:rPr>
      <w:rFonts w:ascii="Arial" w:hAnsi="Arial" w:cs="Arial"/>
      <w:b w:val="0"/>
      <w:i w:val="0"/>
      <w:caps w:val="0"/>
      <w:smallCaps w:val="0"/>
      <w:strike w:val="0"/>
      <w:dstrike w:val="0"/>
      <w:vanish w:val="0"/>
      <w:color w:val="auto"/>
      <w:spacing w:val="0"/>
      <w:w w:val="100"/>
      <w:kern w:val="0"/>
      <w:position w:val="0"/>
      <w:sz w:val="18"/>
      <w:u w:val="none"/>
      <w:effect w:val="none"/>
      <w:vertAlign w:val="superscript"/>
    </w:rPr>
  </w:style>
  <w:style w:type="paragraph" w:styleId="Header">
    <w:name w:val="header"/>
    <w:basedOn w:val="Normal"/>
    <w:pPr>
      <w:tabs>
        <w:tab w:val="center" w:pos="4153"/>
        <w:tab w:val="right" w:pos="8306"/>
      </w:tabs>
    </w:pPr>
  </w:style>
  <w:style w:type="paragraph" w:styleId="Footer">
    <w:name w:val="footer"/>
    <w:basedOn w:val="Normal"/>
    <w:rsid w:val="00F816F6"/>
    <w:pPr>
      <w:tabs>
        <w:tab w:val="clear" w:pos="425"/>
        <w:tab w:val="clear" w:pos="851"/>
        <w:tab w:val="clear" w:pos="1276"/>
        <w:tab w:val="center" w:pos="4536"/>
        <w:tab w:val="right" w:pos="9072"/>
      </w:tabs>
      <w:spacing w:before="240"/>
    </w:pPr>
    <w:rPr>
      <w:snapToGrid w:val="0"/>
      <w:sz w:val="22"/>
    </w:rPr>
  </w:style>
  <w:style w:type="character" w:styleId="PageNumber">
    <w:name w:val="page number"/>
    <w:basedOn w:val="DefaultParagraphFont"/>
  </w:style>
  <w:style w:type="paragraph" w:styleId="FootnoteText">
    <w:name w:val="footnote text"/>
    <w:semiHidden/>
    <w:rsid w:val="003D124A"/>
    <w:pPr>
      <w:tabs>
        <w:tab w:val="left" w:pos="284"/>
      </w:tabs>
      <w:ind w:left="284" w:hanging="284"/>
    </w:pPr>
    <w:rPr>
      <w:rFonts w:ascii="Arial" w:hAnsi="Arial"/>
      <w:sz w:val="18"/>
    </w:rPr>
  </w:style>
  <w:style w:type="paragraph" w:styleId="BalloonText">
    <w:name w:val="Balloon Text"/>
    <w:basedOn w:val="Normal"/>
    <w:semiHidden/>
    <w:rsid w:val="00CD005F"/>
    <w:rPr>
      <w:rFonts w:ascii="Tahoma" w:hAnsi="Tahoma" w:cs="Tahoma"/>
      <w:sz w:val="16"/>
      <w:szCs w:val="16"/>
    </w:rPr>
  </w:style>
  <w:style w:type="character" w:customStyle="1" w:styleId="Bold">
    <w:name w:val="Bold"/>
    <w:basedOn w:val="DefaultParagraphFont"/>
    <w:uiPriority w:val="1"/>
    <w:qFormat/>
    <w:rsid w:val="00344A81"/>
    <w:rPr>
      <w:rFonts w:ascii="Arial" w:hAnsi="Arial"/>
      <w:b/>
      <w:sz w:val="20"/>
    </w:rPr>
  </w:style>
  <w:style w:type="character" w:customStyle="1" w:styleId="Heading1Char">
    <w:name w:val="Heading 1 Char"/>
    <w:basedOn w:val="DefaultParagraphFont"/>
    <w:link w:val="Heading1"/>
    <w:rsid w:val="004B3311"/>
    <w:rPr>
      <w:rFonts w:asciiTheme="majorHAnsi" w:eastAsiaTheme="majorEastAsia" w:hAnsiTheme="majorHAnsi" w:cstheme="majorBidi"/>
      <w:b/>
      <w:bCs/>
      <w:snapToGrid w:val="0"/>
      <w:color w:val="365F91" w:themeColor="accent1" w:themeShade="BF"/>
      <w:sz w:val="28"/>
      <w:szCs w:val="28"/>
      <w:lang w:eastAsia="en-US"/>
    </w:rPr>
  </w:style>
  <w:style w:type="paragraph" w:customStyle="1" w:styleId="Arial10">
    <w:name w:val="Arial10"/>
    <w:qFormat/>
    <w:rsid w:val="003A12E2"/>
    <w:rPr>
      <w:rFonts w:ascii="Arial" w:hAnsi="Arial"/>
    </w:rPr>
  </w:style>
  <w:style w:type="character" w:styleId="Hyperlink">
    <w:name w:val="Hyperlink"/>
    <w:basedOn w:val="DefaultParagraphFont"/>
    <w:uiPriority w:val="99"/>
    <w:unhideWhenUsed/>
    <w:rsid w:val="008E6344"/>
    <w:rPr>
      <w:color w:val="0000FF"/>
      <w:u w:val="single"/>
    </w:rPr>
  </w:style>
  <w:style w:type="paragraph" w:customStyle="1" w:styleId="Arial10After10">
    <w:name w:val="Arial10After10"/>
    <w:basedOn w:val="Arial10"/>
    <w:qFormat/>
    <w:rsid w:val="008E6344"/>
    <w:pPr>
      <w:spacing w:after="200"/>
    </w:pPr>
  </w:style>
  <w:style w:type="paragraph" w:customStyle="1" w:styleId="Subject">
    <w:name w:val="Subject"/>
    <w:basedOn w:val="Arial10"/>
    <w:qFormat/>
    <w:rsid w:val="00E275FC"/>
    <w:pPr>
      <w:tabs>
        <w:tab w:val="left" w:pos="1134"/>
      </w:tabs>
      <w:spacing w:after="240"/>
      <w:ind w:left="1134" w:hanging="1134"/>
    </w:pPr>
  </w:style>
  <w:style w:type="paragraph" w:customStyle="1" w:styleId="Body">
    <w:name w:val="Body"/>
    <w:qFormat/>
    <w:rsid w:val="006822FA"/>
    <w:pPr>
      <w:tabs>
        <w:tab w:val="left" w:pos="425"/>
        <w:tab w:val="left" w:pos="851"/>
        <w:tab w:val="left" w:pos="1276"/>
      </w:tabs>
      <w:spacing w:after="240"/>
    </w:pPr>
    <w:rPr>
      <w:rFonts w:ascii="Arial" w:hAnsi="Arial"/>
    </w:rPr>
  </w:style>
  <w:style w:type="paragraph" w:customStyle="1" w:styleId="LeftHanging">
    <w:name w:val="LeftHanging"/>
    <w:qFormat/>
    <w:rsid w:val="00BD0F1F"/>
    <w:pPr>
      <w:spacing w:before="240"/>
      <w:ind w:left="425" w:hanging="425"/>
    </w:pPr>
    <w:rPr>
      <w:rFonts w:ascii="Arial" w:hAnsi="Arial"/>
    </w:rPr>
  </w:style>
  <w:style w:type="paragraph" w:customStyle="1" w:styleId="LeftHangingAfter">
    <w:name w:val="LeftHangingAfter"/>
    <w:basedOn w:val="LeftHanging"/>
    <w:qFormat/>
    <w:rsid w:val="00AB7C55"/>
    <w:pPr>
      <w:spacing w:before="0"/>
    </w:pPr>
  </w:style>
  <w:style w:type="paragraph" w:customStyle="1" w:styleId="itemList">
    <w:name w:val="itemList"/>
    <w:qFormat/>
    <w:rsid w:val="005024D7"/>
    <w:pPr>
      <w:tabs>
        <w:tab w:val="left" w:pos="425"/>
        <w:tab w:val="left" w:pos="851"/>
        <w:tab w:val="left" w:pos="1276"/>
      </w:tabs>
      <w:spacing w:after="240"/>
      <w:ind w:left="425" w:hanging="425"/>
    </w:pPr>
    <w:rPr>
      <w:rFonts w:ascii="Arial" w:hAnsi="Arial"/>
    </w:rPr>
  </w:style>
  <w:style w:type="paragraph" w:customStyle="1" w:styleId="Supporter">
    <w:name w:val="Supporter"/>
    <w:basedOn w:val="Body"/>
    <w:qFormat/>
    <w:rsid w:val="00CD50AF"/>
    <w:pPr>
      <w:spacing w:before="840"/>
    </w:pPr>
  </w:style>
  <w:style w:type="paragraph" w:customStyle="1" w:styleId="Footer2">
    <w:name w:val="Footer2"/>
    <w:basedOn w:val="Normal"/>
    <w:link w:val="Footer2Char"/>
    <w:qFormat/>
    <w:rsid w:val="000B4A67"/>
    <w:pPr>
      <w:tabs>
        <w:tab w:val="clear" w:pos="425"/>
        <w:tab w:val="clear" w:pos="851"/>
        <w:tab w:val="clear" w:pos="1276"/>
        <w:tab w:val="center" w:pos="4536"/>
        <w:tab w:val="right" w:pos="9923"/>
      </w:tabs>
      <w:ind w:left="-851" w:right="-851"/>
    </w:pPr>
    <w:rPr>
      <w:sz w:val="48"/>
    </w:rPr>
  </w:style>
  <w:style w:type="character" w:customStyle="1" w:styleId="Footer2Lang">
    <w:name w:val="Footer2Lang"/>
    <w:uiPriority w:val="1"/>
    <w:qFormat/>
    <w:rsid w:val="000B4A67"/>
    <w:rPr>
      <w:rFonts w:ascii="Arial" w:hAnsi="Arial"/>
      <w:b/>
      <w:sz w:val="48"/>
    </w:rPr>
  </w:style>
  <w:style w:type="character" w:customStyle="1" w:styleId="Footer2Char">
    <w:name w:val="Footer2 Char"/>
    <w:basedOn w:val="DefaultParagraphFont"/>
    <w:link w:val="Footer2"/>
    <w:rsid w:val="000B4A67"/>
    <w:rPr>
      <w:rFonts w:ascii="Arial" w:hAnsi="Arial"/>
      <w:sz w:val="48"/>
    </w:rPr>
  </w:style>
  <w:style w:type="character" w:customStyle="1" w:styleId="Footer2Middle">
    <w:name w:val="Footer2Middle"/>
    <w:uiPriority w:val="1"/>
    <w:qFormat/>
    <w:rsid w:val="000B4A67"/>
    <w:rPr>
      <w:rFonts w:ascii="Arial" w:hAnsi="Arial"/>
      <w:i/>
      <w:color w:val="BFBFBF" w:themeColor="background1" w:themeShade="BF"/>
      <w:sz w:val="22"/>
    </w:rPr>
  </w:style>
  <w:style w:type="paragraph" w:customStyle="1" w:styleId="SessionDocument">
    <w:name w:val="SessionDocument"/>
    <w:qFormat/>
    <w:rsid w:val="00F63011"/>
    <w:pPr>
      <w:jc w:val="center"/>
    </w:pPr>
    <w:rPr>
      <w:rFonts w:ascii="Arial" w:hAnsi="Arial"/>
      <w:i/>
      <w:sz w:val="22"/>
    </w:rPr>
  </w:style>
  <w:style w:type="paragraph" w:customStyle="1" w:styleId="LineBottom">
    <w:name w:val="LineBottom"/>
    <w:qFormat/>
    <w:rsid w:val="00C01FA6"/>
    <w:pPr>
      <w:pBdr>
        <w:bottom w:val="single" w:sz="4" w:space="1" w:color="auto"/>
      </w:pBdr>
      <w:spacing w:after="1080"/>
      <w:jc w:val="center"/>
    </w:pPr>
    <w:rPr>
      <w:rFonts w:ascii="Arial" w:hAnsi="Arial"/>
      <w:sz w:val="16"/>
    </w:rPr>
  </w:style>
  <w:style w:type="paragraph" w:customStyle="1" w:styleId="LineTop">
    <w:name w:val="LineTop"/>
    <w:next w:val="SessionDocument"/>
    <w:qFormat/>
    <w:rsid w:val="00884286"/>
    <w:pPr>
      <w:pBdr>
        <w:top w:val="single" w:sz="4" w:space="1" w:color="auto"/>
      </w:pBdr>
    </w:pPr>
    <w:rPr>
      <w:rFonts w:ascii="Arial" w:hAnsi="Arial"/>
      <w:sz w:val="16"/>
    </w:rPr>
  </w:style>
  <w:style w:type="paragraph" w:customStyle="1" w:styleId="EPLogo">
    <w:name w:val="EPLogo"/>
    <w:basedOn w:val="Normal"/>
    <w:qFormat/>
    <w:rsid w:val="00A05278"/>
    <w:pPr>
      <w:jc w:val="right"/>
    </w:pPr>
  </w:style>
  <w:style w:type="paragraph" w:customStyle="1" w:styleId="EPName">
    <w:name w:val="EPName"/>
    <w:basedOn w:val="Normal"/>
    <w:qFormat/>
    <w:rsid w:val="00475435"/>
    <w:pPr>
      <w:spacing w:before="80" w:after="80"/>
    </w:pPr>
    <w:rPr>
      <w:rFonts w:ascii="Arial Narrow" w:hAnsi="Arial Narrow"/>
      <w:b/>
      <w:color w:val="000000" w:themeColor="text1"/>
      <w:sz w:val="32"/>
    </w:rPr>
  </w:style>
  <w:style w:type="paragraph" w:customStyle="1" w:styleId="EPTerm">
    <w:name w:val="EPTerm"/>
    <w:basedOn w:val="Normal"/>
    <w:next w:val="Normal"/>
    <w:qFormat/>
    <w:rsid w:val="00475435"/>
    <w:pPr>
      <w:spacing w:after="80"/>
    </w:pPr>
  </w:style>
  <w:style w:type="paragraph" w:customStyle="1" w:styleId="Arial10Date">
    <w:name w:val="Arial10Date"/>
    <w:basedOn w:val="Arial10"/>
    <w:qFormat/>
    <w:rsid w:val="00E258AE"/>
    <w:pPr>
      <w:tabs>
        <w:tab w:val="left" w:pos="0"/>
        <w:tab w:val="right" w:pos="9072"/>
      </w:tabs>
      <w:spacing w:after="400"/>
    </w:pPr>
  </w:style>
  <w:style w:type="character" w:customStyle="1" w:styleId="HideTWBExt">
    <w:name w:val="HideTWBExt"/>
    <w:uiPriority w:val="1"/>
    <w:qFormat/>
    <w:rsid w:val="00DC6131"/>
    <w:rPr>
      <w:rFonts w:ascii="Arial" w:hAnsi="Arial"/>
      <w:vanish/>
      <w:color w:val="1F497D" w:themeColor="text2"/>
      <w:sz w:val="20"/>
    </w:rPr>
  </w:style>
  <w:style w:type="character" w:customStyle="1" w:styleId="Italic">
    <w:name w:val="Italic"/>
    <w:uiPriority w:val="1"/>
    <w:qFormat/>
    <w:rsid w:val="00644428"/>
    <w:rPr>
      <w:i/>
    </w:rPr>
  </w:style>
  <w:style w:type="character" w:customStyle="1" w:styleId="Sub">
    <w:name w:val="Sub"/>
    <w:uiPriority w:val="1"/>
    <w:qFormat/>
    <w:rsid w:val="00776240"/>
    <w:rPr>
      <w:vertAlign w:val="subscript"/>
    </w:rPr>
  </w:style>
  <w:style w:type="character" w:customStyle="1" w:styleId="Sup">
    <w:name w:val="Sup"/>
    <w:uiPriority w:val="1"/>
    <w:qFormat/>
    <w:rsid w:val="00776240"/>
    <w:rPr>
      <w:vertAlign w:val="superscript"/>
    </w:rPr>
  </w:style>
  <w:style w:type="character" w:customStyle="1" w:styleId="ItalicSub">
    <w:name w:val="ItalicSub"/>
    <w:uiPriority w:val="1"/>
    <w:qFormat/>
    <w:rsid w:val="00776240"/>
    <w:rPr>
      <w:i/>
      <w:vertAlign w:val="subscript"/>
    </w:rPr>
  </w:style>
  <w:style w:type="character" w:customStyle="1" w:styleId="ItalicSup">
    <w:name w:val="ItalicSup"/>
    <w:uiPriority w:val="1"/>
    <w:qFormat/>
    <w:rsid w:val="00776240"/>
    <w:rPr>
      <w:i/>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answer</dc:title>
  <dc:creator>e-Parliament@europarl.europa.eu</dc:creator>
  <cp:lastModifiedBy>e-Parliament@europarl.europa.eu</cp:lastModifiedBy>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XMLUID">
    <vt:lpwstr>20210520-161006-203926-622983</vt:lpwstr>
  </property>
</Properties>
</file>