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rial10"/>
      </w:pPr>
      <w:r w:rsidR="00A77B3E">
        <w:rPr>
          <w:rStyle w:val="Bold"/>
        </w:rPr>
        <w:t>Question for written answer E-003354/2021</w:t>
      </w:r>
    </w:p>
    <w:p>
      <w:pPr>
        <w:pStyle w:val="Arial10"/>
      </w:pPr>
      <w:r>
        <w:rPr>
          <w:rStyle w:val="Bold"/>
        </w:rPr>
        <w:t>to the Commission</w:t>
      </w:r>
    </w:p>
    <w:p>
      <w:pPr>
        <w:pStyle w:val="Arial10"/>
      </w:pPr>
      <w:r>
        <w:t>Rule 138</w:t>
      </w:r>
    </w:p>
    <w:p>
      <w:pPr>
        <w:pStyle w:val="Arial10After10"/>
      </w:pPr>
      <w:r>
        <w:rPr>
          <w:rStyle w:val="Bold"/>
        </w:rPr>
        <w:t>Viola Von Cramon-Taubadel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Romeo Franz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Tineke Strik</w:t>
      </w:r>
      <w:r>
        <w:t xml:space="preserve"> (</w:t>
      </w:r>
      <w:r>
        <w:t>Verts/ALE</w:t>
      </w:r>
      <w:r>
        <w:t xml:space="preserve">), </w:t>
      </w:r>
      <w:r>
        <w:rPr>
          <w:rStyle w:val="Bold"/>
        </w:rPr>
        <w:t>Thomas Waitz</w:t>
      </w:r>
      <w:r>
        <w:t xml:space="preserve"> (</w:t>
      </w:r>
      <w:r>
        <w:t>Verts/ALE</w:t>
      </w:r>
      <w:r>
        <w:t>)</w:t>
      </w:r>
    </w:p>
    <w:p>
      <w:pPr>
        <w:pStyle w:val="Subject"/>
      </w:pPr>
      <w:r>
        <w:t>Subject</w:t>
      </w:r>
      <w:r>
        <w:t>:</w:t>
      </w:r>
      <w:r>
        <w:tab/>
      </w:r>
      <w:r>
        <w:t>Lack of coherence in Kosovo’s legal representation</w:t>
      </w:r>
    </w:p>
    <w:p>
      <w:pPr>
        <w:pStyle w:val="itemList"/>
      </w:pPr>
      <w:r>
        <w:t>1.</w:t>
      </w:r>
      <w:r>
        <w:tab/>
      </w:r>
      <w:r>
        <w:t>Can the Commission confirm that, on the basis of the Brussels Agreement, the Government of Kosovo can represent Kosovo in intergovernmental treaties and associations?</w:t>
      </w:r>
    </w:p>
    <w:p>
      <w:pPr>
        <w:pStyle w:val="itemList"/>
      </w:pPr>
      <w:r>
        <w:t>2.</w:t>
      </w:r>
      <w:r>
        <w:tab/>
      </w:r>
      <w:r>
        <w:t>Can it identify any legal provisions that stipulate that the United Nations Interim Administration Mission in Kosovo has to represent Kosovo in the Central European Free Trade Agreement?</w:t>
      </w:r>
    </w:p>
    <w:p>
      <w:pPr>
        <w:pStyle w:val="itemList"/>
      </w:pPr>
      <w:r>
        <w:t>3.</w:t>
      </w:r>
      <w:r>
        <w:tab/>
      </w:r>
      <w:r>
        <w:t>How can Kosovo’s inconsistent legal representation be rectified, and what does the Commission intend to do to address this lack of coherence?</w:t>
      </w:r>
    </w:p>
    <w:sectPr>
      <w:footerReference w:type="even" r:id="rId4"/>
      <w:footerReference w:type="default" r:id="rId5"/>
      <w:footerReference w:type="first" r:id="rId6"/>
      <w:pgSz w:w="11906" w:h="16838"/>
      <w:pgMar w:top="1440" w:right="1440" w:bottom="2000" w:left="1440" w:header="568" w:footer="568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PE695.765v01-00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PE695.765v01-00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ab/>
    </w:r>
    <w:r>
      <w:tab/>
    </w:r>
    <w:r>
      <w:t>PE695.765v01-00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answer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20210830-193002-054051-053762</vt:lpwstr>
  </property>
</Properties>
</file>